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360443" w:rsidRDefault="00360443" w:rsidP="00525816">
            <w:pPr>
              <w:spacing w:before="60" w:after="60"/>
              <w:rPr>
                <w:szCs w:val="24"/>
              </w:rPr>
            </w:pPr>
            <w:r>
              <w:rPr>
                <w:i/>
                <w:szCs w:val="24"/>
              </w:rPr>
              <w:t xml:space="preserve">Exercise Name: </w:t>
            </w:r>
            <w:r>
              <w:rPr>
                <w:szCs w:val="24"/>
              </w:rPr>
              <w:t>Zoo Ready</w:t>
            </w:r>
          </w:p>
          <w:p w:rsidR="00525816" w:rsidRPr="00360443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="00360443">
              <w:rPr>
                <w:i/>
                <w:szCs w:val="24"/>
              </w:rPr>
              <w:t xml:space="preserve">: </w:t>
            </w:r>
            <w:r w:rsidR="00360443">
              <w:rPr>
                <w:szCs w:val="24"/>
              </w:rPr>
              <w:t>August 18-22, 2014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360443" w:rsidRPr="00360443" w:rsidRDefault="00360443" w:rsidP="00525816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Association of Zoos and Aquariums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Default="00525816" w:rsidP="006335A3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360443" w:rsidRPr="00360443" w:rsidRDefault="00360443" w:rsidP="006335A3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FoodSHIELD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360443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 w:rsidR="00360443">
              <w:rPr>
                <w:i/>
                <w:szCs w:val="24"/>
              </w:rPr>
              <w:t xml:space="preserve"> </w:t>
            </w:r>
            <w:r w:rsidR="00132516">
              <w:rPr>
                <w:szCs w:val="24"/>
              </w:rPr>
              <w:t>Understand the</w:t>
            </w:r>
            <w:r w:rsidR="00360443">
              <w:rPr>
                <w:szCs w:val="24"/>
              </w:rPr>
              <w:t xml:space="preserve"> coordination and responsibilities of stakeholders necessary in the response to a Foreign Animal Disease</w:t>
            </w:r>
            <w:r w:rsidR="005028EB">
              <w:rPr>
                <w:szCs w:val="24"/>
              </w:rPr>
              <w:t xml:space="preserve"> (FAD) Outbreak.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537EB3">
              <w:rPr>
                <w:b/>
                <w:szCs w:val="24"/>
              </w:rPr>
              <w:t>On-scene Security and Protection</w:t>
            </w:r>
          </w:p>
          <w:p w:rsidR="00D93B9C" w:rsidRPr="00D93B9C" w:rsidRDefault="00537EB3" w:rsidP="0099787B">
            <w:r w:rsidRPr="00E77894">
              <w:t xml:space="preserve">Ensure a safe and secure environment through </w:t>
            </w:r>
            <w:r w:rsidR="005028EB" w:rsidRPr="00E77894">
              <w:t xml:space="preserve">the use of </w:t>
            </w:r>
            <w:r w:rsidRPr="00E77894">
              <w:t xml:space="preserve">law enforcement </w:t>
            </w:r>
            <w:r w:rsidR="005028EB" w:rsidRPr="00E77894">
              <w:t xml:space="preserve">assets </w:t>
            </w:r>
            <w:r w:rsidRPr="00E77894">
              <w:t>and related security operations for people and communities located within affected areas</w:t>
            </w:r>
            <w:r w:rsidR="005028EB" w:rsidRPr="00E77894">
              <w:t>.</w:t>
            </w:r>
            <w:r w:rsidRPr="00E77894">
              <w:t xml:space="preserve"> </w:t>
            </w:r>
            <w:r w:rsidR="005028EB" w:rsidRPr="00E77894">
              <w:t xml:space="preserve">In addition, ensure a safe environment </w:t>
            </w:r>
            <w:r w:rsidRPr="00E77894">
              <w:t>for all traditional and atypical response personnel engaged in lifesaving and life-sustaining operations.</w:t>
            </w:r>
          </w:p>
        </w:tc>
      </w:tr>
      <w:tr w:rsidR="00525816" w:rsidRPr="000F268D" w:rsidTr="00DC31B0">
        <w:trPr>
          <w:trHeight w:val="2060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360443">
              <w:rPr>
                <w:b/>
                <w:szCs w:val="24"/>
              </w:rPr>
              <w:t xml:space="preserve">: Zoos demonstrate a knowledge of biosecurity and </w:t>
            </w:r>
            <w:r w:rsidR="005028EB">
              <w:rPr>
                <w:b/>
                <w:szCs w:val="24"/>
              </w:rPr>
              <w:t xml:space="preserve">the proper use of </w:t>
            </w:r>
            <w:r w:rsidR="00360443">
              <w:rPr>
                <w:b/>
                <w:szCs w:val="24"/>
              </w:rPr>
              <w:t xml:space="preserve">personal protection </w:t>
            </w:r>
            <w:r w:rsidR="005028EB">
              <w:rPr>
                <w:b/>
                <w:szCs w:val="24"/>
              </w:rPr>
              <w:t xml:space="preserve">equipment (PPE) </w:t>
            </w:r>
            <w:r w:rsidR="00360443">
              <w:rPr>
                <w:b/>
                <w:szCs w:val="24"/>
              </w:rPr>
              <w:t>in the management of a Foreign Animal Disease outbreak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="00360443">
              <w:rPr>
                <w:szCs w:val="24"/>
              </w:rPr>
              <w:t xml:space="preserve"> Zoos </w:t>
            </w:r>
            <w:r w:rsidR="00E77894">
              <w:rPr>
                <w:szCs w:val="24"/>
              </w:rPr>
              <w:t>identify</w:t>
            </w:r>
            <w:r w:rsidR="00360443">
              <w:rPr>
                <w:szCs w:val="24"/>
              </w:rPr>
              <w:t xml:space="preserve"> a Safety Officer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="00360443">
              <w:rPr>
                <w:szCs w:val="24"/>
              </w:rPr>
              <w:t xml:space="preserve">Zoos demonstrate basic knowledge of </w:t>
            </w:r>
            <w:r w:rsidR="001C136C">
              <w:rPr>
                <w:szCs w:val="24"/>
              </w:rPr>
              <w:t xml:space="preserve">appropriate </w:t>
            </w:r>
            <w:r w:rsidR="00360443">
              <w:rPr>
                <w:szCs w:val="24"/>
              </w:rPr>
              <w:t>biosecurity protocols within their respective institutions</w:t>
            </w:r>
          </w:p>
          <w:p w:rsidR="00DC31B0" w:rsidRDefault="00DC31B0" w:rsidP="00525816">
            <w:pPr>
              <w:spacing w:before="60" w:after="60"/>
              <w:rPr>
                <w:szCs w:val="24"/>
              </w:rPr>
            </w:pPr>
            <w:r>
              <w:rPr>
                <w:i/>
                <w:szCs w:val="24"/>
              </w:rPr>
              <w:t xml:space="preserve">Critical Task:  </w:t>
            </w:r>
            <w:r>
              <w:rPr>
                <w:szCs w:val="24"/>
              </w:rPr>
              <w:t xml:space="preserve">Zoos demonstrate knowledge of </w:t>
            </w:r>
            <w:r w:rsidR="001C136C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appropriate </w:t>
            </w:r>
            <w:r w:rsidR="001C136C">
              <w:rPr>
                <w:szCs w:val="24"/>
              </w:rPr>
              <w:t xml:space="preserve">use of </w:t>
            </w:r>
            <w:r>
              <w:rPr>
                <w:szCs w:val="24"/>
              </w:rPr>
              <w:t>PPE</w:t>
            </w:r>
          </w:p>
          <w:p w:rsidR="00360443" w:rsidRPr="00360443" w:rsidRDefault="00DC31B0" w:rsidP="00360443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>S</w:t>
            </w:r>
            <w:r w:rsidR="00360443">
              <w:rPr>
                <w:b/>
                <w:szCs w:val="24"/>
              </w:rPr>
              <w:t xml:space="preserve">ource(s): </w:t>
            </w:r>
            <w:r w:rsidR="006545AB" w:rsidRPr="00D4133A">
              <w:rPr>
                <w:szCs w:val="24"/>
              </w:rPr>
              <w:t>IS=100.B: Introduction to</w:t>
            </w:r>
            <w:r w:rsidR="006545AB">
              <w:rPr>
                <w:b/>
                <w:szCs w:val="24"/>
              </w:rPr>
              <w:t xml:space="preserve"> </w:t>
            </w:r>
            <w:r w:rsidR="006545AB" w:rsidRPr="00094BC5">
              <w:rPr>
                <w:szCs w:val="24"/>
              </w:rPr>
              <w:t>Incident Command System</w:t>
            </w:r>
            <w:r w:rsidR="006545AB">
              <w:rPr>
                <w:szCs w:val="24"/>
              </w:rPr>
              <w:t xml:space="preserve">, </w:t>
            </w:r>
            <w:r w:rsidR="00360443">
              <w:rPr>
                <w:szCs w:val="24"/>
              </w:rPr>
              <w:t xml:space="preserve"> &amp; USDA AZA AI Outbreak Management Plan</w:t>
            </w:r>
            <w:r w:rsidR="006545AB">
              <w:rPr>
                <w:szCs w:val="24"/>
              </w:rPr>
              <w:t xml:space="preserve"> and individual institutional plans</w:t>
            </w:r>
          </w:p>
          <w:p w:rsidR="00C737F2" w:rsidRPr="000F268D" w:rsidRDefault="00C737F2" w:rsidP="00360443">
            <w:pPr>
              <w:spacing w:before="60" w:after="60"/>
              <w:rPr>
                <w:szCs w:val="24"/>
              </w:rPr>
            </w:pPr>
          </w:p>
        </w:tc>
      </w:tr>
      <w:tr w:rsidR="00C512F2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C512F2" w:rsidRPr="000F268D" w:rsidRDefault="00C512F2" w:rsidP="00C512F2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Organizational Capability Target 2:  Zoos demonstrate knowledge of changes in disposal protocols that may be necessary </w:t>
            </w:r>
            <w:r w:rsidR="00C8570A">
              <w:rPr>
                <w:b/>
                <w:szCs w:val="24"/>
              </w:rPr>
              <w:t xml:space="preserve">during </w:t>
            </w:r>
            <w:r>
              <w:rPr>
                <w:b/>
                <w:szCs w:val="24"/>
              </w:rPr>
              <w:t xml:space="preserve"> a disease outbreak</w:t>
            </w:r>
          </w:p>
          <w:p w:rsidR="00C512F2" w:rsidRPr="00381C8E" w:rsidRDefault="00C512F2" w:rsidP="00C512F2">
            <w:pPr>
              <w:spacing w:before="60" w:after="60"/>
              <w:rPr>
                <w:szCs w:val="24"/>
              </w:rPr>
            </w:pPr>
            <w:r>
              <w:rPr>
                <w:i/>
                <w:szCs w:val="24"/>
              </w:rPr>
              <w:t xml:space="preserve">Critical Task:  </w:t>
            </w:r>
            <w:r>
              <w:rPr>
                <w:szCs w:val="24"/>
              </w:rPr>
              <w:t xml:space="preserve">Zoos demonstrate knowledge of </w:t>
            </w:r>
            <w:r w:rsidR="00C8570A">
              <w:rPr>
                <w:szCs w:val="24"/>
              </w:rPr>
              <w:t xml:space="preserve">appropriate </w:t>
            </w:r>
            <w:r>
              <w:rPr>
                <w:szCs w:val="24"/>
              </w:rPr>
              <w:t xml:space="preserve">stakeholders who assist in </w:t>
            </w:r>
            <w:r w:rsidR="00C8570A">
              <w:rPr>
                <w:szCs w:val="24"/>
              </w:rPr>
              <w:t xml:space="preserve">necessary </w:t>
            </w:r>
            <w:r>
              <w:rPr>
                <w:szCs w:val="24"/>
              </w:rPr>
              <w:t>decision-making for waste disposal</w:t>
            </w:r>
          </w:p>
          <w:p w:rsidR="00C512F2" w:rsidRPr="000F268D" w:rsidRDefault="00C512F2" w:rsidP="00C512F2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szCs w:val="24"/>
              </w:rPr>
              <w:t xml:space="preserve"> Zoos indicate that they have </w:t>
            </w:r>
            <w:r w:rsidR="00C8570A">
              <w:rPr>
                <w:szCs w:val="24"/>
              </w:rPr>
              <w:t xml:space="preserve">identified </w:t>
            </w:r>
            <w:r>
              <w:rPr>
                <w:szCs w:val="24"/>
              </w:rPr>
              <w:t xml:space="preserve"> alternative disposal procedures for </w:t>
            </w:r>
            <w:r w:rsidR="00C8570A">
              <w:rPr>
                <w:szCs w:val="24"/>
              </w:rPr>
              <w:t xml:space="preserve">potential </w:t>
            </w:r>
            <w:r>
              <w:rPr>
                <w:szCs w:val="24"/>
              </w:rPr>
              <w:t>infected material</w:t>
            </w:r>
            <w:r w:rsidR="00C8570A">
              <w:rPr>
                <w:szCs w:val="24"/>
              </w:rPr>
              <w:t>s and wastes</w:t>
            </w:r>
            <w:r>
              <w:rPr>
                <w:szCs w:val="24"/>
              </w:rPr>
              <w:t xml:space="preserve"> </w:t>
            </w:r>
          </w:p>
          <w:p w:rsidR="00C512F2" w:rsidRDefault="00C512F2" w:rsidP="00C512F2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 w:rsidRPr="00413E9A">
              <w:rPr>
                <w:szCs w:val="24"/>
              </w:rPr>
              <w:t>USDA</w:t>
            </w:r>
            <w:r>
              <w:rPr>
                <w:b/>
                <w:szCs w:val="24"/>
              </w:rPr>
              <w:t xml:space="preserve"> </w:t>
            </w:r>
            <w:r w:rsidRPr="00413E9A">
              <w:rPr>
                <w:szCs w:val="24"/>
              </w:rPr>
              <w:t>AZA AI Outbreak Management Plan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C512F2" w:rsidRDefault="00C512F2" w:rsidP="00C512F2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 Capability</w:t>
            </w:r>
            <w:r w:rsidRPr="000F268D">
              <w:rPr>
                <w:b/>
                <w:szCs w:val="24"/>
              </w:rPr>
              <w:t xml:space="preserve"> Target </w:t>
            </w:r>
            <w:r>
              <w:rPr>
                <w:b/>
                <w:szCs w:val="24"/>
              </w:rPr>
              <w:t xml:space="preserve">3: Zoos demonstrate that preplanning has occurred for </w:t>
            </w:r>
            <w:r w:rsidR="00C8570A">
              <w:rPr>
                <w:b/>
                <w:szCs w:val="24"/>
              </w:rPr>
              <w:t xml:space="preserve">various susceptible </w:t>
            </w:r>
            <w:r>
              <w:rPr>
                <w:b/>
                <w:szCs w:val="24"/>
              </w:rPr>
              <w:t xml:space="preserve">species to prevent or manage infection if permitted by State and Federal </w:t>
            </w:r>
            <w:r w:rsidR="00C8570A">
              <w:rPr>
                <w:b/>
                <w:szCs w:val="24"/>
              </w:rPr>
              <w:t xml:space="preserve">regulatory </w:t>
            </w:r>
            <w:r>
              <w:rPr>
                <w:b/>
                <w:szCs w:val="24"/>
              </w:rPr>
              <w:t>partners</w:t>
            </w:r>
          </w:p>
          <w:p w:rsidR="00C512F2" w:rsidRDefault="00C512F2" w:rsidP="00C512F2">
            <w:pPr>
              <w:spacing w:before="60" w:after="60"/>
              <w:rPr>
                <w:szCs w:val="24"/>
              </w:rPr>
            </w:pPr>
            <w:r>
              <w:rPr>
                <w:i/>
                <w:szCs w:val="24"/>
              </w:rPr>
              <w:t xml:space="preserve">Critical Task: </w:t>
            </w:r>
            <w:r>
              <w:rPr>
                <w:szCs w:val="24"/>
              </w:rPr>
              <w:t xml:space="preserve">Zoos have identified alternative housing </w:t>
            </w:r>
            <w:r w:rsidR="00C8570A">
              <w:rPr>
                <w:szCs w:val="24"/>
              </w:rPr>
              <w:t xml:space="preserve">space </w:t>
            </w:r>
            <w:r>
              <w:rPr>
                <w:szCs w:val="24"/>
              </w:rPr>
              <w:t>for susceptible or ill species as needed</w:t>
            </w:r>
          </w:p>
          <w:p w:rsidR="00C737F2" w:rsidRPr="000F268D" w:rsidRDefault="00C512F2" w:rsidP="00C512F2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 w:rsidRPr="00413E9A">
              <w:rPr>
                <w:szCs w:val="24"/>
              </w:rPr>
              <w:t xml:space="preserve">USDA </w:t>
            </w:r>
            <w:r>
              <w:rPr>
                <w:szCs w:val="24"/>
              </w:rPr>
              <w:t>AZA AI Outbreak Management Plan; Individual institutional plans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C737F2" w:rsidRDefault="00413E9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="00C512F2">
              <w:rPr>
                <w:b/>
                <w:szCs w:val="24"/>
              </w:rPr>
              <w:t>Organizational Capability Target 4:</w:t>
            </w:r>
            <w:r w:rsidR="00D61C3B">
              <w:rPr>
                <w:b/>
                <w:szCs w:val="24"/>
              </w:rPr>
              <w:t xml:space="preserve"> Zoos discuss their </w:t>
            </w:r>
            <w:r w:rsidR="00C8570A">
              <w:rPr>
                <w:b/>
                <w:szCs w:val="24"/>
              </w:rPr>
              <w:t xml:space="preserve">coordination </w:t>
            </w:r>
            <w:r w:rsidR="00E77894">
              <w:rPr>
                <w:b/>
                <w:szCs w:val="24"/>
              </w:rPr>
              <w:t>measures</w:t>
            </w:r>
            <w:r w:rsidR="00C8570A">
              <w:rPr>
                <w:b/>
                <w:szCs w:val="24"/>
              </w:rPr>
              <w:t xml:space="preserve"> </w:t>
            </w:r>
            <w:r w:rsidR="00D61C3B">
              <w:rPr>
                <w:b/>
                <w:szCs w:val="24"/>
              </w:rPr>
              <w:t>with local Emergency Management</w:t>
            </w:r>
            <w:r w:rsidR="00C8570A">
              <w:rPr>
                <w:b/>
                <w:szCs w:val="24"/>
              </w:rPr>
              <w:t xml:space="preserve"> Agency partners.</w:t>
            </w:r>
          </w:p>
          <w:p w:rsidR="00C512F2" w:rsidRDefault="00C512F2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Critical Task:</w:t>
            </w:r>
            <w:r w:rsidR="00E7699D" w:rsidRPr="00E77894">
              <w:rPr>
                <w:szCs w:val="24"/>
              </w:rPr>
              <w:t xml:space="preserve"> Zoos have reached out to EM partners as a preparedness measure for their institution</w:t>
            </w:r>
          </w:p>
          <w:p w:rsidR="00470BDA" w:rsidRPr="00E77894" w:rsidRDefault="00D61C3B" w:rsidP="00525816">
            <w:pPr>
              <w:spacing w:before="60" w:after="60"/>
              <w:rPr>
                <w:szCs w:val="24"/>
              </w:rPr>
            </w:pPr>
            <w:r w:rsidRPr="00E77894">
              <w:rPr>
                <w:b/>
                <w:szCs w:val="24"/>
              </w:rPr>
              <w:lastRenderedPageBreak/>
              <w:t>Source(s):</w:t>
            </w:r>
            <w:r>
              <w:rPr>
                <w:b/>
                <w:szCs w:val="24"/>
              </w:rPr>
              <w:t xml:space="preserve">  </w:t>
            </w:r>
            <w:r w:rsidR="00E77894" w:rsidRPr="00E77894">
              <w:rPr>
                <w:szCs w:val="24"/>
              </w:rPr>
              <w:t>Individual Institutional plans</w:t>
            </w:r>
          </w:p>
          <w:p w:rsidR="00D61C3B" w:rsidRPr="00470BDA" w:rsidRDefault="00D61C3B" w:rsidP="00E77894">
            <w:pPr>
              <w:rPr>
                <w:szCs w:val="24"/>
              </w:rPr>
            </w:pPr>
          </w:p>
        </w:tc>
      </w:tr>
    </w:tbl>
    <w:p w:rsidR="00470BDA" w:rsidRDefault="00470BDA" w:rsidP="00955F17">
      <w:pPr>
        <w:spacing w:before="120" w:after="120"/>
        <w:rPr>
          <w:b/>
          <w:szCs w:val="24"/>
        </w:rPr>
      </w:pPr>
    </w:p>
    <w:p w:rsidR="00351114" w:rsidRPr="00E77894" w:rsidRDefault="00351114" w:rsidP="00E77894">
      <w:pPr>
        <w:rPr>
          <w:szCs w:val="24"/>
        </w:rPr>
        <w:sectPr w:rsidR="00351114" w:rsidRPr="00E77894" w:rsidSect="006C6F5E">
          <w:footerReference w:type="default" r:id="rId8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892649" w:rsidRPr="00644FEE" w:rsidRDefault="00892649" w:rsidP="00892649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Zoos demonstrate a knowledge of biosecurity and the proper use of personal protection equipment (PPE) in the management of a Foreign Animal Disease outbreak</w:t>
            </w:r>
          </w:p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892649" w:rsidRPr="00E77894" w:rsidRDefault="00892649" w:rsidP="00E77894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Cs w:val="24"/>
              </w:rPr>
            </w:pPr>
            <w:bookmarkStart w:id="0" w:name="_GoBack"/>
            <w:bookmarkEnd w:id="0"/>
            <w:r w:rsidRPr="00E77894">
              <w:rPr>
                <w:szCs w:val="24"/>
              </w:rPr>
              <w:t xml:space="preserve">Zoos </w:t>
            </w:r>
            <w:r w:rsidR="00E77894" w:rsidRPr="00E77894">
              <w:rPr>
                <w:szCs w:val="24"/>
              </w:rPr>
              <w:t>identify</w:t>
            </w:r>
            <w:r w:rsidRPr="00E77894">
              <w:rPr>
                <w:szCs w:val="24"/>
              </w:rPr>
              <w:t xml:space="preserve"> a Safety Officer</w:t>
            </w:r>
          </w:p>
          <w:p w:rsidR="00892649" w:rsidRPr="00E77894" w:rsidRDefault="00892649" w:rsidP="00E77894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Cs w:val="24"/>
              </w:rPr>
            </w:pPr>
            <w:r w:rsidRPr="00E77894">
              <w:rPr>
                <w:szCs w:val="24"/>
              </w:rPr>
              <w:t>Zoos demonstrate basic knowledge of appropriate biosecurity protocols within their respective institutions</w:t>
            </w:r>
          </w:p>
          <w:p w:rsidR="00892649" w:rsidRPr="00E77894" w:rsidRDefault="00892649" w:rsidP="00E77894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Cs w:val="24"/>
              </w:rPr>
            </w:pPr>
            <w:r w:rsidRPr="00E77894">
              <w:rPr>
                <w:szCs w:val="24"/>
              </w:rPr>
              <w:t>Zoos demonstrate knowledge of the appropriate use of PPE</w:t>
            </w:r>
          </w:p>
          <w:p w:rsidR="00C56E61" w:rsidRPr="00452029" w:rsidRDefault="00C56E61" w:rsidP="00E77894">
            <w:pPr>
              <w:pStyle w:val="ListParagraph"/>
              <w:spacing w:before="60" w:after="60"/>
              <w:ind w:left="252"/>
              <w:rPr>
                <w:szCs w:val="24"/>
              </w:rPr>
            </w:pP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B732C4" w:rsidP="00644FEE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Zoos demonstrate knowledge of changes in disposal protocols that may be necessary during  a disease outbreak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732C4" w:rsidRPr="00E77894" w:rsidRDefault="00B732C4" w:rsidP="00E7789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szCs w:val="24"/>
              </w:rPr>
            </w:pPr>
            <w:r w:rsidRPr="00E77894">
              <w:rPr>
                <w:szCs w:val="24"/>
              </w:rPr>
              <w:t xml:space="preserve"> Zoos demonstrate knowledge of appropriate stakeholders who assist in necessary decision-making for waste disposal</w:t>
            </w:r>
          </w:p>
          <w:p w:rsidR="00B732C4" w:rsidRPr="00E77894" w:rsidRDefault="00B732C4" w:rsidP="00E7789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szCs w:val="24"/>
              </w:rPr>
            </w:pPr>
            <w:r w:rsidRPr="00E77894">
              <w:rPr>
                <w:szCs w:val="24"/>
              </w:rPr>
              <w:t xml:space="preserve">Zoos indicate that they have identified  alternative disposal procedures for potential infected materials and wastes </w:t>
            </w:r>
          </w:p>
          <w:p w:rsidR="00452029" w:rsidRPr="00452029" w:rsidRDefault="00452029" w:rsidP="00E77894">
            <w:pPr>
              <w:pStyle w:val="ListParagraph"/>
              <w:spacing w:before="60" w:after="60"/>
              <w:ind w:left="252"/>
              <w:rPr>
                <w:szCs w:val="24"/>
              </w:rPr>
            </w:pP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AD4427" w:rsidRDefault="00AD4427" w:rsidP="00AD4427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Zoos demonstrate that preplanning has occurred for various susceptible species to prevent or manage infection if permitted by State and Federal regulatory partners</w:t>
            </w:r>
          </w:p>
          <w:p w:rsidR="00452029" w:rsidRPr="000F268D" w:rsidRDefault="00452029" w:rsidP="00F46A7F">
            <w:pPr>
              <w:rPr>
                <w:szCs w:val="24"/>
              </w:rPr>
            </w:pP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AD4427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>
              <w:rPr>
                <w:szCs w:val="24"/>
              </w:rPr>
              <w:t xml:space="preserve"> Zoos have identified alternative housing space for susceptible or ill species as needed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7699D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E7699D" w:rsidRDefault="00E7699D" w:rsidP="00E7699D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Zoos discuss their coordination </w:t>
            </w:r>
            <w:r w:rsidR="00E77894">
              <w:rPr>
                <w:b/>
                <w:szCs w:val="24"/>
              </w:rPr>
              <w:t>measures</w:t>
            </w:r>
            <w:r>
              <w:rPr>
                <w:b/>
                <w:szCs w:val="24"/>
              </w:rPr>
              <w:t xml:space="preserve"> with local Emergency Management Agency partners.</w:t>
            </w:r>
          </w:p>
          <w:p w:rsidR="00E7699D" w:rsidDel="00AD4427" w:rsidRDefault="00E7699D" w:rsidP="00AD4427">
            <w:pPr>
              <w:spacing w:before="60" w:after="60"/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7699D" w:rsidRPr="00E77894" w:rsidRDefault="00E7699D" w:rsidP="00E7789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Cs w:val="24"/>
              </w:rPr>
            </w:pPr>
            <w:r w:rsidRPr="00E77894">
              <w:rPr>
                <w:szCs w:val="24"/>
              </w:rPr>
              <w:t>Zoos have reached out to EM partners as a preparedness measure for their institution</w:t>
            </w:r>
          </w:p>
          <w:p w:rsidR="00E7699D" w:rsidRPr="00452029" w:rsidDel="00AD4427" w:rsidRDefault="00E7699D" w:rsidP="00E77894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E7699D" w:rsidRPr="000F268D" w:rsidRDefault="00E7699D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E7699D" w:rsidRPr="000F268D" w:rsidRDefault="00E7699D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9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5"/>
        <w:gridCol w:w="9775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0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00" w:rsidRDefault="00BB4100" w:rsidP="00955F17">
      <w:r>
        <w:separator/>
      </w:r>
    </w:p>
  </w:endnote>
  <w:endnote w:type="continuationSeparator" w:id="0">
    <w:p w:rsidR="00BB4100" w:rsidRDefault="00BB4100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DA" w:rsidRPr="00470BDA" w:rsidRDefault="00470BDA" w:rsidP="00470BDA">
    <w:pPr>
      <w:tabs>
        <w:tab w:val="center" w:pos="4320"/>
        <w:tab w:val="right" w:pos="8640"/>
      </w:tabs>
      <w:rPr>
        <w:rFonts w:ascii="Arial" w:eastAsia="Times New Roman" w:hAnsi="Arial" w:cs="Arial"/>
        <w:color w:val="000080"/>
        <w:sz w:val="18"/>
        <w:szCs w:val="18"/>
      </w:rPr>
    </w:pPr>
    <w:r w:rsidRPr="00470BDA">
      <w:rPr>
        <w:rFonts w:ascii="Arial" w:eastAsia="Times New Roman" w:hAnsi="Arial" w:cs="Arial"/>
        <w:color w:val="000080"/>
        <w:sz w:val="18"/>
        <w:szCs w:val="18"/>
      </w:rPr>
      <w:t xml:space="preserve">08/18-22/2014                                                                                                                  Controller/Evaluator Handbook </w:t>
    </w:r>
  </w:p>
  <w:p w:rsidR="00470BDA" w:rsidRPr="00470BDA" w:rsidRDefault="00470BDA" w:rsidP="00470BDA">
    <w:pPr>
      <w:tabs>
        <w:tab w:val="center" w:pos="4320"/>
        <w:tab w:val="right" w:pos="8640"/>
      </w:tabs>
      <w:rPr>
        <w:rFonts w:eastAsia="Times New Roman"/>
        <w:szCs w:val="24"/>
      </w:rPr>
    </w:pPr>
    <w:r w:rsidRPr="00470BDA">
      <w:rPr>
        <w:rFonts w:ascii="Arial" w:eastAsia="Times New Roman" w:hAnsi="Arial" w:cs="Arial"/>
        <w:color w:val="000080"/>
        <w:sz w:val="18"/>
        <w:szCs w:val="18"/>
      </w:rPr>
      <w:t xml:space="preserve">Internet Functional Exercise </w:t>
    </w:r>
    <w:r w:rsidRPr="00470BDA">
      <w:rPr>
        <w:rFonts w:ascii="Arial" w:eastAsia="Times New Roman" w:hAnsi="Arial" w:cs="Arial"/>
        <w:color w:val="000080"/>
        <w:sz w:val="18"/>
        <w:szCs w:val="18"/>
      </w:rPr>
      <w:tab/>
    </w:r>
    <w:r w:rsidRPr="00470BDA">
      <w:rPr>
        <w:rFonts w:ascii="Arial" w:eastAsia="Times New Roman" w:hAnsi="Arial" w:cs="Arial"/>
        <w:color w:val="000080"/>
        <w:sz w:val="18"/>
        <w:szCs w:val="18"/>
      </w:rPr>
      <w:tab/>
      <w:t xml:space="preserve">    Zoo Ready</w:t>
    </w:r>
  </w:p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Resp</w:t>
    </w:r>
    <w:proofErr w:type="spellEnd"/>
    <w:r w:rsidR="00537EB3">
      <w:rPr>
        <w:rFonts w:ascii="Arial" w:hAnsi="Arial" w:cs="Arial"/>
        <w:color w:val="000080"/>
        <w:sz w:val="18"/>
        <w:szCs w:val="18"/>
      </w:rPr>
      <w:t>-OSS&amp;P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00" w:rsidRDefault="00BB4100" w:rsidP="00955F17">
      <w:r>
        <w:separator/>
      </w:r>
    </w:p>
  </w:footnote>
  <w:footnote w:type="continuationSeparator" w:id="0">
    <w:p w:rsidR="00BB4100" w:rsidRDefault="00BB4100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B4D95"/>
    <w:multiLevelType w:val="hybridMultilevel"/>
    <w:tmpl w:val="5F64E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77391"/>
    <w:multiLevelType w:val="hybridMultilevel"/>
    <w:tmpl w:val="3D9E5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EAA0585"/>
    <w:multiLevelType w:val="hybridMultilevel"/>
    <w:tmpl w:val="CA663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32516"/>
    <w:rsid w:val="00152978"/>
    <w:rsid w:val="001A4F97"/>
    <w:rsid w:val="001A5A8E"/>
    <w:rsid w:val="001C136C"/>
    <w:rsid w:val="001D6C99"/>
    <w:rsid w:val="001E7B6F"/>
    <w:rsid w:val="001F004E"/>
    <w:rsid w:val="0021261C"/>
    <w:rsid w:val="00284301"/>
    <w:rsid w:val="002B08EF"/>
    <w:rsid w:val="002B395F"/>
    <w:rsid w:val="002D6F07"/>
    <w:rsid w:val="002E0111"/>
    <w:rsid w:val="002E7D11"/>
    <w:rsid w:val="00311DEC"/>
    <w:rsid w:val="00336FE6"/>
    <w:rsid w:val="00351114"/>
    <w:rsid w:val="00351DDD"/>
    <w:rsid w:val="00360443"/>
    <w:rsid w:val="00371A71"/>
    <w:rsid w:val="003745F2"/>
    <w:rsid w:val="0038063E"/>
    <w:rsid w:val="00381AF1"/>
    <w:rsid w:val="00381C8E"/>
    <w:rsid w:val="003B303B"/>
    <w:rsid w:val="003F7ABC"/>
    <w:rsid w:val="00404AC2"/>
    <w:rsid w:val="004112CB"/>
    <w:rsid w:val="00413E9A"/>
    <w:rsid w:val="00433C20"/>
    <w:rsid w:val="00452029"/>
    <w:rsid w:val="0046656B"/>
    <w:rsid w:val="00470BDA"/>
    <w:rsid w:val="004B0220"/>
    <w:rsid w:val="004C106E"/>
    <w:rsid w:val="004C1197"/>
    <w:rsid w:val="004D237A"/>
    <w:rsid w:val="004F3766"/>
    <w:rsid w:val="004F6F29"/>
    <w:rsid w:val="0050256E"/>
    <w:rsid w:val="005028EB"/>
    <w:rsid w:val="00503BD8"/>
    <w:rsid w:val="0050413F"/>
    <w:rsid w:val="00516715"/>
    <w:rsid w:val="00525816"/>
    <w:rsid w:val="0053227E"/>
    <w:rsid w:val="00537EB3"/>
    <w:rsid w:val="00546F00"/>
    <w:rsid w:val="006335A3"/>
    <w:rsid w:val="00637663"/>
    <w:rsid w:val="00644776"/>
    <w:rsid w:val="00644FEE"/>
    <w:rsid w:val="006468CC"/>
    <w:rsid w:val="006545AB"/>
    <w:rsid w:val="00656C05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C2E85"/>
    <w:rsid w:val="007D48EB"/>
    <w:rsid w:val="007F2C03"/>
    <w:rsid w:val="00823926"/>
    <w:rsid w:val="0082534B"/>
    <w:rsid w:val="008348C6"/>
    <w:rsid w:val="00837F9C"/>
    <w:rsid w:val="00844C46"/>
    <w:rsid w:val="00892649"/>
    <w:rsid w:val="008A1879"/>
    <w:rsid w:val="008D0B19"/>
    <w:rsid w:val="008D3B07"/>
    <w:rsid w:val="0090703C"/>
    <w:rsid w:val="00916D16"/>
    <w:rsid w:val="0093201D"/>
    <w:rsid w:val="009341E2"/>
    <w:rsid w:val="009442DE"/>
    <w:rsid w:val="00953F25"/>
    <w:rsid w:val="00955F17"/>
    <w:rsid w:val="00970978"/>
    <w:rsid w:val="00973C96"/>
    <w:rsid w:val="00986BAC"/>
    <w:rsid w:val="0099787B"/>
    <w:rsid w:val="009B0B2E"/>
    <w:rsid w:val="009C00BF"/>
    <w:rsid w:val="009C0948"/>
    <w:rsid w:val="009C7185"/>
    <w:rsid w:val="009D470E"/>
    <w:rsid w:val="00A234BB"/>
    <w:rsid w:val="00A25D04"/>
    <w:rsid w:val="00A71276"/>
    <w:rsid w:val="00A91347"/>
    <w:rsid w:val="00A95616"/>
    <w:rsid w:val="00A97B28"/>
    <w:rsid w:val="00AD4427"/>
    <w:rsid w:val="00AE3828"/>
    <w:rsid w:val="00B34F28"/>
    <w:rsid w:val="00B46C3B"/>
    <w:rsid w:val="00B732C4"/>
    <w:rsid w:val="00B95816"/>
    <w:rsid w:val="00BA5844"/>
    <w:rsid w:val="00BB4100"/>
    <w:rsid w:val="00BE2B8C"/>
    <w:rsid w:val="00BE55D8"/>
    <w:rsid w:val="00BF123B"/>
    <w:rsid w:val="00C01FE1"/>
    <w:rsid w:val="00C145F8"/>
    <w:rsid w:val="00C155A2"/>
    <w:rsid w:val="00C36890"/>
    <w:rsid w:val="00C4049A"/>
    <w:rsid w:val="00C43EC7"/>
    <w:rsid w:val="00C512F2"/>
    <w:rsid w:val="00C527E5"/>
    <w:rsid w:val="00C56E61"/>
    <w:rsid w:val="00C66244"/>
    <w:rsid w:val="00C737F2"/>
    <w:rsid w:val="00C76678"/>
    <w:rsid w:val="00C8570A"/>
    <w:rsid w:val="00C86A02"/>
    <w:rsid w:val="00C875C6"/>
    <w:rsid w:val="00CA0B73"/>
    <w:rsid w:val="00CC7E2F"/>
    <w:rsid w:val="00D4020E"/>
    <w:rsid w:val="00D61C3B"/>
    <w:rsid w:val="00D77C34"/>
    <w:rsid w:val="00D93B9C"/>
    <w:rsid w:val="00DA7AE6"/>
    <w:rsid w:val="00DB72DC"/>
    <w:rsid w:val="00DC31B0"/>
    <w:rsid w:val="00DD3050"/>
    <w:rsid w:val="00DE2E89"/>
    <w:rsid w:val="00DE345E"/>
    <w:rsid w:val="00DE36A0"/>
    <w:rsid w:val="00E17DBC"/>
    <w:rsid w:val="00E21682"/>
    <w:rsid w:val="00E47F19"/>
    <w:rsid w:val="00E7699D"/>
    <w:rsid w:val="00E77894"/>
    <w:rsid w:val="00EA133A"/>
    <w:rsid w:val="00EA7A80"/>
    <w:rsid w:val="00EB1383"/>
    <w:rsid w:val="00ED02ED"/>
    <w:rsid w:val="00F133CC"/>
    <w:rsid w:val="00F34CCC"/>
    <w:rsid w:val="00F46A7F"/>
    <w:rsid w:val="00F77D42"/>
    <w:rsid w:val="00F82C3F"/>
    <w:rsid w:val="00F91DE5"/>
    <w:rsid w:val="00FA6FD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3BDED1-B455-40C1-8D89-CDD5528C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23BE-5B0F-4818-B848-C7811ECB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Yvonne Nadler</cp:lastModifiedBy>
  <cp:revision>5</cp:revision>
  <cp:lastPrinted>2013-03-29T20:22:00Z</cp:lastPrinted>
  <dcterms:created xsi:type="dcterms:W3CDTF">2014-08-11T13:26:00Z</dcterms:created>
  <dcterms:modified xsi:type="dcterms:W3CDTF">2014-08-11T15:26:00Z</dcterms:modified>
</cp:coreProperties>
</file>